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B6" w:rsidRPr="009370B6" w:rsidRDefault="009370B6" w:rsidP="009370B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9370B6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2</w:t>
      </w:r>
    </w:p>
    <w:p w:rsidR="009370B6" w:rsidRPr="009370B6" w:rsidRDefault="009370B6" w:rsidP="009370B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370B6">
        <w:rPr>
          <w:rFonts w:ascii="Verdana" w:eastAsia="Times New Roman" w:hAnsi="Verdana" w:cs="Times New Roman"/>
          <w:sz w:val="21"/>
          <w:szCs w:val="21"/>
          <w:lang w:eastAsia="ru-RU"/>
        </w:rPr>
        <w:t>к распоряжению Правительства</w:t>
      </w:r>
    </w:p>
    <w:p w:rsidR="009370B6" w:rsidRPr="009370B6" w:rsidRDefault="009370B6" w:rsidP="009370B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370B6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9370B6" w:rsidRPr="009370B6" w:rsidRDefault="009370B6" w:rsidP="009370B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370B6">
        <w:rPr>
          <w:rFonts w:ascii="Verdana" w:eastAsia="Times New Roman" w:hAnsi="Verdana" w:cs="Times New Roman"/>
          <w:sz w:val="21"/>
          <w:szCs w:val="21"/>
          <w:lang w:eastAsia="ru-RU"/>
        </w:rPr>
        <w:t>от 26 декабря 2015 г. N 2724-р</w:t>
      </w:r>
    </w:p>
    <w:p w:rsidR="009370B6" w:rsidRDefault="009370B6" w:rsidP="009370B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9370B6" w:rsidRDefault="009370B6" w:rsidP="009370B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9370B6" w:rsidRDefault="009370B6" w:rsidP="009370B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9370B6" w:rsidRPr="009370B6" w:rsidRDefault="009370B6" w:rsidP="009370B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370B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ПЕРЕЧЕНЬ</w:t>
      </w:r>
    </w:p>
    <w:p w:rsidR="009370B6" w:rsidRPr="009370B6" w:rsidRDefault="009370B6" w:rsidP="009370B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370B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ЛЕКАРСТВЕННЫХ ПРЕПАРАТОВ ДЛЯ МЕДИЦИНСКОГО ПРИМЕНЕНИЯ,</w:t>
      </w:r>
    </w:p>
    <w:p w:rsidR="009370B6" w:rsidRPr="009370B6" w:rsidRDefault="009370B6" w:rsidP="009370B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370B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ТОМ ЧИСЛЕ ЛЕКАРСТВЕННЫХ ПРЕПАРАТОВ ДЛЯ МЕДИЦИНСКОГО</w:t>
      </w:r>
    </w:p>
    <w:p w:rsidR="009370B6" w:rsidRPr="009370B6" w:rsidRDefault="009370B6" w:rsidP="009370B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370B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ПРИМЕНЕНИЯ, НАЗНАЧАЕМЫХ ПО РЕШЕНИЮ ВРАЧЕБНЫХ КОМИССИЙ</w:t>
      </w:r>
    </w:p>
    <w:p w:rsidR="009370B6" w:rsidRPr="009370B6" w:rsidRDefault="009370B6" w:rsidP="009370B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370B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МЕДИЦИНСКИХ ОРГАНИЗАЦИЙ</w:t>
      </w:r>
    </w:p>
    <w:p w:rsidR="009370B6" w:rsidRPr="009370B6" w:rsidRDefault="009370B6" w:rsidP="009370B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370B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12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063"/>
        <w:gridCol w:w="2822"/>
        <w:gridCol w:w="2281"/>
      </w:tblGrid>
      <w:tr w:rsidR="009370B6" w:rsidRPr="009370B6" w:rsidTr="009370B6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70B6" w:rsidRPr="009370B6" w:rsidRDefault="009370B6" w:rsidP="009370B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370B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70B6" w:rsidRPr="009370B6" w:rsidRDefault="009370B6" w:rsidP="009370B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370B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70B6" w:rsidRPr="009370B6" w:rsidRDefault="009370B6" w:rsidP="009370B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370B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370B6" w:rsidRPr="009370B6" w:rsidRDefault="009370B6" w:rsidP="009370B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370B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Лекарственные форм</w:t>
            </w:r>
          </w:p>
        </w:tc>
      </w:tr>
    </w:tbl>
    <w:p w:rsidR="009370B6" w:rsidRPr="00827561" w:rsidRDefault="009370B6" w:rsidP="009370B6">
      <w:pPr>
        <w:tabs>
          <w:tab w:val="left" w:pos="8400"/>
        </w:tabs>
      </w:pPr>
      <w:r w:rsidRPr="00827561">
        <w:tab/>
      </w:r>
    </w:p>
    <w:p w:rsidR="009370B6" w:rsidRDefault="009370B6" w:rsidP="009370B6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9370B6" w:rsidTr="00624527">
        <w:tc>
          <w:tcPr>
            <w:tcW w:w="1266" w:type="dxa"/>
            <w:tcBorders>
              <w:top w:val="single" w:sz="4" w:space="0" w:color="auto"/>
            </w:tcBorders>
          </w:tcPr>
          <w:p w:rsidR="009370B6" w:rsidRDefault="009370B6" w:rsidP="00624527">
            <w:pPr>
              <w:pStyle w:val="ConsPlusNormal"/>
              <w:jc w:val="center"/>
              <w:outlineLvl w:val="0"/>
            </w:pPr>
            <w:r>
              <w:t>N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:rsidR="009370B6" w:rsidRDefault="009370B6" w:rsidP="00624527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  <w:outlineLvl w:val="1"/>
            </w:pPr>
            <w:r>
              <w:t>N01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  <w:outlineLvl w:val="1"/>
            </w:pPr>
            <w:r>
              <w:t>N02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lastRenderedPageBreak/>
              <w:t>N02AA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 пролонгированного действия;</w:t>
            </w:r>
          </w:p>
          <w:p w:rsidR="009370B6" w:rsidRDefault="009370B6" w:rsidP="00624527">
            <w:pPr>
              <w:pStyle w:val="ConsPlusNormal"/>
            </w:pPr>
            <w:r>
              <w:t>раствор для инъекций;</w:t>
            </w:r>
          </w:p>
          <w:p w:rsidR="009370B6" w:rsidRDefault="009370B6" w:rsidP="00624527">
            <w:pPr>
              <w:pStyle w:val="ConsPlusNormal"/>
            </w:pPr>
            <w:r>
              <w:t>раствор для подкожного введения;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 подъязычные;</w:t>
            </w:r>
          </w:p>
          <w:p w:rsidR="009370B6" w:rsidRDefault="009370B6" w:rsidP="00624527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другие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 защечные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капли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раствор для инъекций;</w:t>
            </w:r>
          </w:p>
          <w:p w:rsidR="009370B6" w:rsidRDefault="009370B6" w:rsidP="00624527">
            <w:pPr>
              <w:pStyle w:val="ConsPlusNormal"/>
            </w:pPr>
            <w:r>
              <w:t>суппозитории ректальные;</w:t>
            </w:r>
          </w:p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сироп;</w:t>
            </w:r>
          </w:p>
          <w:p w:rsidR="009370B6" w:rsidRDefault="009370B6" w:rsidP="00624527">
            <w:pPr>
              <w:pStyle w:val="ConsPlusNormal"/>
            </w:pPr>
            <w:r>
              <w:t>сироп [для детей];</w:t>
            </w:r>
          </w:p>
          <w:p w:rsidR="009370B6" w:rsidRDefault="009370B6" w:rsidP="00624527">
            <w:pPr>
              <w:pStyle w:val="ConsPlusNormal"/>
            </w:pPr>
            <w:r>
              <w:t>суппозитории ректальные;</w:t>
            </w:r>
          </w:p>
          <w:p w:rsidR="009370B6" w:rsidRDefault="009370B6" w:rsidP="00624527">
            <w:pPr>
              <w:pStyle w:val="ConsPlusNormal"/>
            </w:pPr>
            <w:r>
              <w:t>суппозитории ректальные [для детей];</w:t>
            </w:r>
          </w:p>
          <w:p w:rsidR="009370B6" w:rsidRDefault="009370B6" w:rsidP="00624527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суспензия для приема внутрь [для детей];</w:t>
            </w:r>
          </w:p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  <w:outlineLvl w:val="1"/>
            </w:pPr>
            <w:r>
              <w:lastRenderedPageBreak/>
              <w:t>N03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 [для детей]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сироп;</w:t>
            </w:r>
          </w:p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суспензия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гранулы пролонгированного действия;</w:t>
            </w:r>
          </w:p>
          <w:p w:rsidR="009370B6" w:rsidRDefault="009370B6" w:rsidP="00624527">
            <w:pPr>
              <w:pStyle w:val="ConsPlusNormal"/>
            </w:pPr>
            <w:r>
              <w:t>капли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капсулы кишечнорастворимые;</w:t>
            </w:r>
          </w:p>
          <w:p w:rsidR="009370B6" w:rsidRDefault="009370B6" w:rsidP="00624527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сироп;</w:t>
            </w:r>
          </w:p>
          <w:p w:rsidR="009370B6" w:rsidRDefault="009370B6" w:rsidP="00624527">
            <w:pPr>
              <w:pStyle w:val="ConsPlusNormal"/>
            </w:pPr>
            <w:r>
              <w:t>сироп [для детей];</w:t>
            </w:r>
          </w:p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  <w:outlineLvl w:val="1"/>
            </w:pPr>
            <w:r>
              <w:t>N04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 xml:space="preserve">капсулы с модифицированным </w:t>
            </w:r>
            <w:proofErr w:type="spellStart"/>
            <w:r>
              <w:t>ысвобождением</w:t>
            </w:r>
            <w:proofErr w:type="spellEnd"/>
            <w:r>
              <w:t>;</w:t>
            </w:r>
          </w:p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lastRenderedPageBreak/>
              <w:t>N04BB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прамипексол</w:t>
            </w:r>
            <w:proofErr w:type="spellEnd"/>
            <w:r>
              <w:t xml:space="preserve"> &lt;*&gt;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  <w:outlineLvl w:val="1"/>
            </w:pPr>
            <w:r>
              <w:t>N05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драже;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флуфеназин</w:t>
            </w:r>
            <w:proofErr w:type="spellEnd"/>
            <w:r>
              <w:t xml:space="preserve"> &lt;*&gt;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раствор для приема внутрь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капли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lastRenderedPageBreak/>
              <w:t>N05AF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зуклопентиксол</w:t>
            </w:r>
            <w:proofErr w:type="spellEnd"/>
            <w:r>
              <w:t xml:space="preserve"> &lt;*&gt;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9370B6" w:rsidRDefault="009370B6" w:rsidP="00624527">
            <w:pPr>
              <w:pStyle w:val="ConsPlusNormal"/>
            </w:pPr>
            <w:r>
              <w:t>таблетки для рассасывания;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раствор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палиперидон</w:t>
            </w:r>
            <w:proofErr w:type="spellEnd"/>
            <w:r>
              <w:t xml:space="preserve"> &lt;*&gt;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рисперидон</w:t>
            </w:r>
            <w:proofErr w:type="spellEnd"/>
            <w:r>
              <w:t xml:space="preserve"> &lt;*&gt;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370B6" w:rsidRDefault="009370B6" w:rsidP="00624527">
            <w:pPr>
              <w:pStyle w:val="ConsPlusNormal"/>
            </w:pPr>
            <w:r>
              <w:t>раствор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</w:t>
            </w:r>
            <w:r>
              <w:lastRenderedPageBreak/>
              <w:t>полости рта;</w:t>
            </w:r>
          </w:p>
          <w:p w:rsidR="009370B6" w:rsidRDefault="009370B6" w:rsidP="00624527">
            <w:pPr>
              <w:pStyle w:val="ConsPlusNormal"/>
            </w:pPr>
            <w:r>
              <w:t>таблетки для рассасывания;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  <w:outlineLvl w:val="1"/>
            </w:pPr>
            <w:r>
              <w:t>N06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 пролонгированного действия;</w:t>
            </w:r>
          </w:p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драже;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капли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агомелатин</w:t>
            </w:r>
            <w:proofErr w:type="spellEnd"/>
            <w:r>
              <w:t xml:space="preserve"> &lt;*&gt;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раствор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церебролизин</w:t>
            </w:r>
            <w:proofErr w:type="spellEnd"/>
            <w:r>
              <w:t xml:space="preserve"> &lt;*&gt;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раствор для инъекций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 пролонгированного действия;</w:t>
            </w:r>
          </w:p>
          <w:p w:rsidR="009370B6" w:rsidRDefault="009370B6" w:rsidP="00624527">
            <w:pPr>
              <w:pStyle w:val="ConsPlusNormal"/>
            </w:pPr>
            <w:r>
              <w:t>таблетки;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9370B6" w:rsidRDefault="009370B6" w:rsidP="00624527">
            <w:pPr>
              <w:pStyle w:val="ConsPlusNormal"/>
            </w:pPr>
            <w:r>
              <w:t>раствор для приема внутрь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  <w:outlineLvl w:val="1"/>
            </w:pPr>
            <w:r>
              <w:t>N07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t xml:space="preserve"> &lt;*&gt;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раствор для приема внутрь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капли для приема внутрь;</w:t>
            </w:r>
          </w:p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таблетки</w:t>
            </w: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</w:p>
        </w:tc>
      </w:tr>
      <w:tr w:rsidR="009370B6" w:rsidTr="00624527">
        <w:tc>
          <w:tcPr>
            <w:tcW w:w="1266" w:type="dxa"/>
          </w:tcPr>
          <w:p w:rsidR="009370B6" w:rsidRDefault="009370B6" w:rsidP="00624527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4441" w:type="dxa"/>
          </w:tcPr>
          <w:p w:rsidR="009370B6" w:rsidRDefault="009370B6" w:rsidP="0062452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</w:tcPr>
          <w:p w:rsidR="009370B6" w:rsidRDefault="009370B6" w:rsidP="00624527">
            <w:pPr>
              <w:pStyle w:val="ConsPlusNormal"/>
              <w:jc w:val="center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275" w:type="dxa"/>
          </w:tcPr>
          <w:p w:rsidR="009370B6" w:rsidRDefault="009370B6" w:rsidP="0062452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370B6" w:rsidTr="00624527">
        <w:tc>
          <w:tcPr>
            <w:tcW w:w="1266" w:type="dxa"/>
            <w:tcBorders>
              <w:bottom w:val="single" w:sz="4" w:space="0" w:color="auto"/>
            </w:tcBorders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:rsidR="009370B6" w:rsidRDefault="009370B6" w:rsidP="00624527">
            <w:pPr>
              <w:pStyle w:val="ConsPlusNormal"/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9370B6" w:rsidRDefault="009370B6" w:rsidP="00624527">
            <w:pPr>
              <w:pStyle w:val="ConsPlusNormal"/>
              <w:jc w:val="center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9370B6" w:rsidRDefault="009370B6" w:rsidP="00624527">
            <w:pPr>
              <w:pStyle w:val="ConsPlusNormal"/>
            </w:pPr>
            <w:r>
              <w:t>капсулы;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оболочкой;</w:t>
            </w:r>
          </w:p>
          <w:p w:rsidR="009370B6" w:rsidRDefault="009370B6" w:rsidP="006245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9370B6" w:rsidRDefault="009370B6" w:rsidP="009370B6">
      <w:pPr>
        <w:pStyle w:val="ConsPlusNormal"/>
      </w:pPr>
      <w:r>
        <w:rPr>
          <w:i/>
          <w:iCs/>
          <w:color w:val="0000FF"/>
        </w:rPr>
        <w:br/>
        <w:t xml:space="preserve">Распоряжение Правительства РФ от 26.12.2015 N 2724-р &lt;Об утверждении перечня жизненно необходимых и важнейших лекарственных препаратов на 2016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</w:t>
      </w:r>
    </w:p>
    <w:p w:rsidR="00A07EDF" w:rsidRDefault="00A07EDF"/>
    <w:sectPr w:rsidR="00A07EDF" w:rsidSect="00937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95"/>
    <w:rsid w:val="00127238"/>
    <w:rsid w:val="009370B6"/>
    <w:rsid w:val="00A07EDF"/>
    <w:rsid w:val="00F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2017-08-28T08:01:00Z</cp:lastPrinted>
  <dcterms:created xsi:type="dcterms:W3CDTF">2017-08-28T08:16:00Z</dcterms:created>
  <dcterms:modified xsi:type="dcterms:W3CDTF">2017-08-28T08:16:00Z</dcterms:modified>
</cp:coreProperties>
</file>